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3E980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2277854"/>
      <w:r>
        <w:rPr>
          <w:sz w:val="52"/>
          <w:szCs w:val="52"/>
        </w:rPr>
        <w:t>SOUHRNNÁ TECHNICKÁ ZPRÁVA</w:t>
      </w:r>
      <w:bookmarkEnd w:id="0"/>
    </w:p>
    <w:p w14:paraId="3ED18BFF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07F48DD5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>VODNÍ DÍLO HORNÍ BEČVA</w:t>
      </w:r>
    </w:p>
    <w:p w14:paraId="4BF1CFD6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0F25052F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6BF2C1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F0A7486" w14:textId="22F005B7" w:rsidR="00766015" w:rsidRDefault="00F85717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4CEDBC1B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A44A10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5E1A7C3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209340CA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57563099" w14:textId="77777777" w:rsidR="00766015" w:rsidRDefault="00766015" w:rsidP="008D4C9E"/>
        </w:tc>
      </w:tr>
      <w:tr w:rsidR="00766015" w14:paraId="56A0DA0E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C294BB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74B8100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6B79052C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3DA2AF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3B03F4C" w14:textId="46893C95" w:rsidR="00766015" w:rsidRDefault="00F85717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03316BC9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CC85C8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D925E1D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1A00AB0E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26AEF1EF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208430FF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0A5871F1" w14:textId="77777777" w:rsidR="006E6EAB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6E6EAB">
        <w:rPr>
          <w:noProof/>
        </w:rPr>
        <w:t>SOUHRNNÁ TECHNICKÁ ZPRÁVA</w:t>
      </w:r>
      <w:r w:rsidR="006E6EAB">
        <w:rPr>
          <w:noProof/>
        </w:rPr>
        <w:tab/>
      </w:r>
      <w:r w:rsidR="006E6EAB">
        <w:rPr>
          <w:noProof/>
        </w:rPr>
        <w:fldChar w:fldCharType="begin"/>
      </w:r>
      <w:r w:rsidR="006E6EAB">
        <w:rPr>
          <w:noProof/>
        </w:rPr>
        <w:instrText xml:space="preserve"> PAGEREF _Toc492277854 \h </w:instrText>
      </w:r>
      <w:r w:rsidR="006E6EAB">
        <w:rPr>
          <w:noProof/>
        </w:rPr>
      </w:r>
      <w:r w:rsidR="006E6EAB">
        <w:rPr>
          <w:noProof/>
        </w:rPr>
        <w:fldChar w:fldCharType="separate"/>
      </w:r>
      <w:r w:rsidR="006E6EAB">
        <w:rPr>
          <w:noProof/>
        </w:rPr>
        <w:t>1</w:t>
      </w:r>
      <w:r w:rsidR="006E6EAB">
        <w:rPr>
          <w:noProof/>
        </w:rPr>
        <w:fldChar w:fldCharType="end"/>
      </w:r>
    </w:p>
    <w:p w14:paraId="7E17F314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_Toc492277855 \h </w:instrText>
      </w:r>
      <w:r>
        <w:fldChar w:fldCharType="separate"/>
      </w:r>
      <w:r>
        <w:t>4</w:t>
      </w:r>
      <w:r>
        <w:fldChar w:fldCharType="end"/>
      </w:r>
    </w:p>
    <w:p w14:paraId="77D53FDF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_Toc492277856 \h </w:instrText>
      </w:r>
      <w:r>
        <w:fldChar w:fldCharType="separate"/>
      </w:r>
      <w:r>
        <w:t>5</w:t>
      </w:r>
      <w:r>
        <w:fldChar w:fldCharType="end"/>
      </w:r>
    </w:p>
    <w:p w14:paraId="4B0046B9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_Toc492277857 \h </w:instrText>
      </w:r>
      <w:r>
        <w:fldChar w:fldCharType="separate"/>
      </w:r>
      <w:r>
        <w:t>6</w:t>
      </w:r>
      <w:r>
        <w:fldChar w:fldCharType="end"/>
      </w:r>
    </w:p>
    <w:p w14:paraId="64A5F2A8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_Toc492277858 \h </w:instrText>
      </w:r>
      <w:r>
        <w:fldChar w:fldCharType="separate"/>
      </w:r>
      <w:r>
        <w:t>6</w:t>
      </w:r>
      <w:r>
        <w:fldChar w:fldCharType="end"/>
      </w:r>
    </w:p>
    <w:p w14:paraId="4D5B13DC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_Toc492277859 \h </w:instrText>
      </w:r>
      <w:r>
        <w:fldChar w:fldCharType="separate"/>
      </w:r>
      <w:r>
        <w:t>7</w:t>
      </w:r>
      <w:r>
        <w:fldChar w:fldCharType="end"/>
      </w:r>
    </w:p>
    <w:p w14:paraId="3A15D04A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_Toc492277860 \h </w:instrText>
      </w:r>
      <w:r>
        <w:fldChar w:fldCharType="separate"/>
      </w:r>
      <w:r>
        <w:t>7</w:t>
      </w:r>
      <w:r>
        <w:fldChar w:fldCharType="end"/>
      </w:r>
    </w:p>
    <w:p w14:paraId="71E479E7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_Toc492277861 \h </w:instrText>
      </w:r>
      <w:r>
        <w:fldChar w:fldCharType="separate"/>
      </w:r>
      <w:r>
        <w:t>8</w:t>
      </w:r>
      <w:r>
        <w:fldChar w:fldCharType="end"/>
      </w:r>
    </w:p>
    <w:p w14:paraId="652576A5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_Toc492277862 \h </w:instrText>
      </w:r>
      <w:r>
        <w:fldChar w:fldCharType="separate"/>
      </w:r>
      <w:r>
        <w:t>8</w:t>
      </w:r>
      <w:r>
        <w:fldChar w:fldCharType="end"/>
      </w:r>
    </w:p>
    <w:p w14:paraId="69458F26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2C91A4A2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6A65B00B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8A1FE9" w:rsidRPr="002B0419" w14:paraId="4CBB9E7C" w14:textId="77777777" w:rsidTr="001E3B05">
        <w:tc>
          <w:tcPr>
            <w:tcW w:w="2943" w:type="dxa"/>
            <w:shd w:val="clear" w:color="auto" w:fill="auto"/>
          </w:tcPr>
          <w:p w14:paraId="5A1F83FD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61773A1" w14:textId="77777777" w:rsidR="008A1FE9" w:rsidRPr="002B0419" w:rsidRDefault="008A1FE9" w:rsidP="00402B1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Horní Bečva</w:t>
            </w:r>
          </w:p>
        </w:tc>
      </w:tr>
      <w:tr w:rsidR="008A1FE9" w:rsidRPr="002B0419" w14:paraId="4F7FF3F4" w14:textId="77777777" w:rsidTr="003D22C9">
        <w:tc>
          <w:tcPr>
            <w:tcW w:w="2943" w:type="dxa"/>
            <w:shd w:val="clear" w:color="auto" w:fill="auto"/>
          </w:tcPr>
          <w:p w14:paraId="54BBE153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46C004AB" w14:textId="77777777" w:rsidR="008A1FE9" w:rsidRPr="001E3B05" w:rsidRDefault="008A1FE9" w:rsidP="00402B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Horní Bečva</w:t>
            </w:r>
            <w:r w:rsidRPr="001E3B05">
              <w:rPr>
                <w:rFonts w:ascii="Arial Narrow" w:hAnsi="Arial Narrow" w:cs="Times New Roman"/>
              </w:rPr>
              <w:t xml:space="preserve"> na řece </w:t>
            </w:r>
            <w:r>
              <w:rPr>
                <w:rFonts w:ascii="Arial Narrow" w:hAnsi="Arial Narrow" w:cs="Times New Roman"/>
              </w:rPr>
              <w:t>Rožnovská Bečva</w:t>
            </w:r>
          </w:p>
        </w:tc>
      </w:tr>
      <w:tr w:rsidR="008A1FE9" w:rsidRPr="002B0419" w14:paraId="073021B4" w14:textId="77777777" w:rsidTr="003D22C9">
        <w:tc>
          <w:tcPr>
            <w:tcW w:w="2943" w:type="dxa"/>
            <w:shd w:val="clear" w:color="auto" w:fill="auto"/>
          </w:tcPr>
          <w:p w14:paraId="7ABEBDB1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02801848" w14:textId="77777777" w:rsidR="008A1FE9" w:rsidRPr="002B0419" w:rsidRDefault="008A1FE9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06B19E1E" w14:textId="77777777" w:rsidTr="003D22C9">
        <w:tc>
          <w:tcPr>
            <w:tcW w:w="2943" w:type="dxa"/>
            <w:shd w:val="clear" w:color="auto" w:fill="auto"/>
          </w:tcPr>
          <w:p w14:paraId="5C89BBE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2AFB5326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8A1FE9">
              <w:rPr>
                <w:rFonts w:ascii="Arial Narrow" w:hAnsi="Arial Narrow" w:cs="Times New Roman"/>
              </w:rPr>
              <w:t>p.č. 2786, 4460/9, 2256,2099/5   k.ú. Horní Bečva</w:t>
            </w:r>
          </w:p>
        </w:tc>
      </w:tr>
      <w:tr w:rsidR="003D22C9" w:rsidRPr="002B0419" w14:paraId="3D87C944" w14:textId="77777777" w:rsidTr="003D22C9">
        <w:tc>
          <w:tcPr>
            <w:tcW w:w="2943" w:type="dxa"/>
            <w:shd w:val="clear" w:color="auto" w:fill="auto"/>
          </w:tcPr>
          <w:p w14:paraId="670B990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42FB4B62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43D6E00A" w14:textId="77777777" w:rsidTr="003D22C9">
        <w:tc>
          <w:tcPr>
            <w:tcW w:w="2943" w:type="dxa"/>
            <w:shd w:val="clear" w:color="auto" w:fill="auto"/>
          </w:tcPr>
          <w:p w14:paraId="1D41074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62C1E76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798AACFA" w14:textId="77777777" w:rsidTr="003D22C9">
        <w:tc>
          <w:tcPr>
            <w:tcW w:w="2943" w:type="dxa"/>
            <w:shd w:val="clear" w:color="auto" w:fill="auto"/>
          </w:tcPr>
          <w:p w14:paraId="255DAB0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15766197" w14:textId="0DB5CD76" w:rsidR="003D22C9" w:rsidRPr="002B0419" w:rsidRDefault="00F8571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7D7DF4F3" w14:textId="77777777" w:rsidTr="003D22C9">
        <w:tc>
          <w:tcPr>
            <w:tcW w:w="2943" w:type="dxa"/>
            <w:shd w:val="clear" w:color="auto" w:fill="auto"/>
          </w:tcPr>
          <w:p w14:paraId="581AEBD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1BD60B5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642B0124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60D7AD73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6A52EA3" w14:textId="77777777" w:rsidTr="003D22C9">
        <w:tc>
          <w:tcPr>
            <w:tcW w:w="2943" w:type="dxa"/>
            <w:shd w:val="clear" w:color="auto" w:fill="auto"/>
          </w:tcPr>
          <w:p w14:paraId="4D25F9C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4EC41CD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159ED657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79FB02E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2DAB09AC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393AE5AB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09918CB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FCF27E9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293BE7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2389AAA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364F18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8FE81AA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56C15DEE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533D5817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8280362" w14:textId="77777777" w:rsidTr="003D22C9">
        <w:tc>
          <w:tcPr>
            <w:tcW w:w="2943" w:type="dxa"/>
            <w:shd w:val="clear" w:color="auto" w:fill="auto"/>
          </w:tcPr>
          <w:p w14:paraId="7369420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816A797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5F978B36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02166A9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31031DB6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0F2A8C53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53C47B0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3B057F1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31A6D721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E56027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4A9D03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78963163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897E9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6E6A009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25F9BFE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4F1A50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5555710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7943D882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A5CAB4F" w14:textId="77777777" w:rsidTr="003D22C9">
        <w:tc>
          <w:tcPr>
            <w:tcW w:w="2943" w:type="dxa"/>
            <w:shd w:val="clear" w:color="auto" w:fill="auto"/>
          </w:tcPr>
          <w:p w14:paraId="3AD5DA0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391A207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778C808E" w14:textId="77777777" w:rsidTr="003D22C9">
        <w:tc>
          <w:tcPr>
            <w:tcW w:w="2943" w:type="dxa"/>
            <w:shd w:val="clear" w:color="auto" w:fill="auto"/>
          </w:tcPr>
          <w:p w14:paraId="1024B80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6BB41B6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1280A8E8" w14:textId="77777777" w:rsidTr="003D22C9">
        <w:tc>
          <w:tcPr>
            <w:tcW w:w="2943" w:type="dxa"/>
            <w:shd w:val="clear" w:color="auto" w:fill="auto"/>
          </w:tcPr>
          <w:p w14:paraId="642CB9B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22DCFA7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6E5CF7F8" w14:textId="77777777" w:rsidTr="003D22C9">
        <w:tc>
          <w:tcPr>
            <w:tcW w:w="2943" w:type="dxa"/>
            <w:shd w:val="clear" w:color="auto" w:fill="auto"/>
          </w:tcPr>
          <w:p w14:paraId="6CDC765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60B3D771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7FA1D0D6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DD5A9BC" w14:textId="77777777" w:rsidR="00FC61D3" w:rsidRPr="00147A61" w:rsidRDefault="009E53C2" w:rsidP="00FC61D3">
      <w:pPr>
        <w:pStyle w:val="N1"/>
      </w:pPr>
      <w:bookmarkStart w:id="33" w:name="_Toc492277855"/>
      <w:r>
        <w:lastRenderedPageBreak/>
        <w:t>pOPIS ÚZEMÍ STAVBY</w:t>
      </w:r>
      <w:bookmarkEnd w:id="33"/>
    </w:p>
    <w:p w14:paraId="08DD8537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354C4275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věžovém objektu, v areálu domku hrázného a v limnigrafické stanici na odtoku. </w:t>
      </w:r>
    </w:p>
    <w:p w14:paraId="499E542D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A101BBC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3704EFE3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5373A337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16496753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190D95AD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933BC01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10C04802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3B973FCE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4779BD3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6BA1CD42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394C547D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0520E76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2701908C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02130FDF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0549CA7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90A86D1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3E2C9BA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0E61E18E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lastRenderedPageBreak/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5C16B729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E7D9109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6231EABF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3007918E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D67CB34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01EB62D6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3E3B5028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047EF304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153D9AD3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7769573B" w14:textId="77777777" w:rsidR="00FC61D3" w:rsidRDefault="009E53C2" w:rsidP="00FC61D3">
      <w:pPr>
        <w:pStyle w:val="N1"/>
      </w:pPr>
      <w:bookmarkStart w:id="34" w:name="_Toc492277856"/>
      <w:r>
        <w:t>Celkový popis stavby</w:t>
      </w:r>
      <w:bookmarkEnd w:id="34"/>
    </w:p>
    <w:p w14:paraId="1F4476AF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2089E1FB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937ACE">
        <w:rPr>
          <w:rFonts w:asciiTheme="minorHAnsi" w:hAnsiTheme="minorHAnsi"/>
          <w:sz w:val="24"/>
          <w:szCs w:val="24"/>
        </w:rPr>
        <w:t xml:space="preserve">Horní Bečva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64AF1BD2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 xml:space="preserve">. Tato modernizace zahrnuje především výměnu zařízení měřících hladinu v nádrži, teplotu vody a vzduchu, výměnu srážkoměru a modernizace měření v odtokovém limnigrafu. Dále bude nově zrealizovány 3 měření TBD veličin.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Tato data budou koncentrována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 xml:space="preserve">vodohospodářský dispečink v Brně. V rámci stavby budou nahrazeny některé části kabelového vedení.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2CCB25A0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086F38E7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2DE6BE3A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081C756A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46D11BC7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5F238AF1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71961DBC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26FF9B80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36FD4E0C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Bezpečnost užívání stavby se vlivem projektu nemění.</w:t>
      </w:r>
    </w:p>
    <w:p w14:paraId="2EA80651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7F0710BD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Vodní dílo Horní Bečva se nachází na vodním toku Rožnovská Bečva. Jedná se o zemní sypanou hráz o výšce nade dnem údolí 13,7 m, celkový objem nádrže je cca 665 tis. m</w:t>
      </w:r>
      <w:r w:rsidRPr="003A510F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>.</w:t>
      </w:r>
      <w:r w:rsidR="003946F4">
        <w:rPr>
          <w:rFonts w:asciiTheme="minorHAnsi" w:hAnsiTheme="minorHAnsi"/>
          <w:sz w:val="24"/>
          <w:szCs w:val="24"/>
        </w:rPr>
        <w:t xml:space="preserve"> </w:t>
      </w:r>
    </w:p>
    <w:p w14:paraId="4D1A0F28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Vodní dílo je vybaveno výpustnými zařízeními. Tato zařízení jsou umístěna ve věžovém objektu</w:t>
      </w:r>
      <w:r>
        <w:t xml:space="preserve">, který </w:t>
      </w:r>
      <w:r w:rsidRPr="003946F4">
        <w:rPr>
          <w:rFonts w:asciiTheme="minorHAnsi" w:hAnsiTheme="minorHAnsi"/>
          <w:sz w:val="24"/>
          <w:szCs w:val="24"/>
        </w:rPr>
        <w:t>je umístěn v zátopě při levé straně hráze</w:t>
      </w:r>
      <w:r>
        <w:rPr>
          <w:rFonts w:asciiTheme="minorHAnsi" w:hAnsiTheme="minorHAnsi"/>
          <w:sz w:val="24"/>
          <w:szCs w:val="24"/>
        </w:rPr>
        <w:t>.</w:t>
      </w:r>
      <w:r w:rsidRPr="003946F4">
        <w:t xml:space="preserve"> </w:t>
      </w:r>
      <w:r w:rsidRPr="003946F4">
        <w:rPr>
          <w:rFonts w:asciiTheme="minorHAnsi" w:hAnsiTheme="minorHAnsi"/>
          <w:sz w:val="24"/>
          <w:szCs w:val="24"/>
        </w:rPr>
        <w:t>Ve věži jsou vtokové objekty do malé vodní elektrárny, hospodářské výpusti a spodních výpustí. Vtok do MVE a hospodářské výpusti je společný.</w:t>
      </w:r>
    </w:p>
    <w:p w14:paraId="7BC44BF7" w14:textId="77777777" w:rsidR="003A510F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Zázemí je tvořeno především domkem hrázného. Na přítoku a odtoku jsou vybudován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34A34C26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77AD2CBC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99A2DD2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3ADC9F24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3CD1F75A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E0B184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6AAF3ACD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5F6FB099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AD6CD8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7D9775C0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368D526B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69F9C8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1444AFBA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2A162D64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2FD81F5C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1137D195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Jednotlivá měřící místa budou chráněno přepěťovými ochranami. </w:t>
      </w:r>
    </w:p>
    <w:p w14:paraId="25700DB5" w14:textId="77777777" w:rsidR="006017D8" w:rsidRPr="006017D8" w:rsidRDefault="006017D8" w:rsidP="006017D8">
      <w:pPr>
        <w:pStyle w:val="N1"/>
      </w:pPr>
      <w:bookmarkStart w:id="35" w:name="_Toc492277857"/>
      <w:r w:rsidRPr="006017D8">
        <w:t>Připojení na technickou infrastrukturu</w:t>
      </w:r>
      <w:bookmarkEnd w:id="35"/>
    </w:p>
    <w:p w14:paraId="56CAA4A8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371B9AF2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39140E8E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517F32DB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17CECA29" w14:textId="77777777" w:rsidR="006017D8" w:rsidRPr="006017D8" w:rsidRDefault="006017D8" w:rsidP="006017D8">
      <w:pPr>
        <w:pStyle w:val="N1"/>
      </w:pPr>
      <w:bookmarkStart w:id="36" w:name="_Toc492277858"/>
      <w:r w:rsidRPr="006017D8">
        <w:t>Dopravní řešení</w:t>
      </w:r>
      <w:bookmarkEnd w:id="36"/>
    </w:p>
    <w:p w14:paraId="732E4F1F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529E5C5C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204A1841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55913F7E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403DA25C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178A783E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3633ADAD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779AA6CD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02FE0854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669229BF" w14:textId="77777777" w:rsidR="00D812A4" w:rsidRPr="006A609C" w:rsidRDefault="006A609C" w:rsidP="006A609C">
      <w:pPr>
        <w:pStyle w:val="N1"/>
      </w:pPr>
      <w:bookmarkStart w:id="37" w:name="_Toc492277859"/>
      <w:r w:rsidRPr="006A609C">
        <w:t>Řešení vegetace a souvisejících terénních úprav</w:t>
      </w:r>
      <w:bookmarkEnd w:id="37"/>
    </w:p>
    <w:p w14:paraId="10587D2D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2DC6EA56" w14:textId="77777777" w:rsidR="00E8258F" w:rsidRDefault="00E8258F" w:rsidP="00E8258F">
      <w:pPr>
        <w:pStyle w:val="N1"/>
      </w:pPr>
      <w:bookmarkStart w:id="38" w:name="_Toc492277860"/>
      <w:r>
        <w:t>Popis vlivů na životní prostředí a jeho ochrana</w:t>
      </w:r>
      <w:bookmarkEnd w:id="38"/>
    </w:p>
    <w:p w14:paraId="4318A78E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23E0C2E9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00A233B3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69A5FF57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204197FB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F70424A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60ABDD02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3C4A848C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11CBBB24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04530A08" w14:textId="77777777" w:rsidTr="008D23CE">
        <w:tc>
          <w:tcPr>
            <w:tcW w:w="1693" w:type="dxa"/>
            <w:vAlign w:val="center"/>
          </w:tcPr>
          <w:p w14:paraId="4FD7041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06C56A3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5E884A6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2D9AE80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2AC4E8A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5F1E35C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25019E0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4A178B9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032C2A8F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0B4972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2B172FC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3391784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EC038F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5F560C8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49D9453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0695F4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757A056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652D6D7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ACD91F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5B64ECB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10035C8F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F409BE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5CA8E53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566E976B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BB3CA4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6B64AB0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128BD58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C02820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374373E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31C3313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84447A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5E7D936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0B74DBD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98BFF2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2AC843D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5FDFBD03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5630C7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63E2B63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67C07040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D22464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46EF121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5C95152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E5A5AF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B611DC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0262128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C9F24F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605ABA4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13AA054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C98239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739A52A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63A5788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76CDB7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762C670E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207A7A77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5B8F1A3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731ABBD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5E0DC741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1A1FE40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4EA3BDD5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7AB67362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44758318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6B32F95F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1D95A08F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103D48EC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1A233757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540EC185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5522FF01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3A9DB496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4F25B58F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74B30B55" w14:textId="77777777" w:rsidR="00E8258F" w:rsidRPr="000D59E6" w:rsidRDefault="00302BD4" w:rsidP="00302BD4">
      <w:pPr>
        <w:pStyle w:val="N1"/>
      </w:pPr>
      <w:bookmarkStart w:id="39" w:name="_Toc492277861"/>
      <w:r>
        <w:t>Ochrana obyvatelstva</w:t>
      </w:r>
      <w:bookmarkEnd w:id="39"/>
    </w:p>
    <w:p w14:paraId="13C6BAA9" w14:textId="77777777" w:rsidR="00B55C59" w:rsidRPr="00713F57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49F3A5C2" w14:textId="77777777" w:rsidR="00302BD4" w:rsidRDefault="00302BD4" w:rsidP="00302BD4">
      <w:pPr>
        <w:pStyle w:val="N1"/>
      </w:pPr>
      <w:bookmarkStart w:id="40" w:name="_Toc492277862"/>
      <w:r>
        <w:t>Zásady organizace výstavby</w:t>
      </w:r>
      <w:bookmarkEnd w:id="40"/>
    </w:p>
    <w:p w14:paraId="232ADE71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3EA45C28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427052D5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6A268939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636B335C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229E4097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2C20B779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7E2B75E5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6456C355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6F907881" w14:textId="416F69D4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F85717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F85717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F85717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146BEAE5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2C03E" w14:textId="77777777" w:rsidR="00CE0E9A" w:rsidRDefault="00CE0E9A" w:rsidP="0081121B">
      <w:r>
        <w:separator/>
      </w:r>
    </w:p>
  </w:endnote>
  <w:endnote w:type="continuationSeparator" w:id="0">
    <w:p w14:paraId="237385D4" w14:textId="77777777" w:rsidR="00CE0E9A" w:rsidRDefault="00CE0E9A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0ABAA17A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78A27049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7C13A8A5" wp14:editId="1939C3F2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169A9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60CF55E7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1F1664">
      <w:rPr>
        <w:bCs w:val="0"/>
        <w:noProof/>
      </w:rPr>
      <w:t>9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1F1664">
      <w:rPr>
        <w:bCs w:val="0"/>
        <w:noProof/>
      </w:rPr>
      <w:t>9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426385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926F47B" w14:textId="77777777" w:rsidR="001F1664" w:rsidRDefault="001F1664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4CC4FA62" wp14:editId="3BC65479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7DE016" w14:textId="77777777" w:rsidR="001F1664" w:rsidRDefault="001F1664">
            <w:pPr>
              <w:pStyle w:val="Zpat"/>
            </w:pPr>
          </w:p>
          <w:p w14:paraId="460A77D2" w14:textId="77777777" w:rsidR="001F1664" w:rsidRDefault="001F1664">
            <w:pPr>
              <w:pStyle w:val="Zpat"/>
            </w:pPr>
          </w:p>
          <w:p w14:paraId="1AA3863D" w14:textId="77777777" w:rsidR="001F1664" w:rsidRDefault="001F1664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0E618890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1FD22" w14:textId="77777777" w:rsidR="00CE0E9A" w:rsidRDefault="00CE0E9A" w:rsidP="0081121B">
      <w:r>
        <w:separator/>
      </w:r>
    </w:p>
  </w:footnote>
  <w:footnote w:type="continuationSeparator" w:id="0">
    <w:p w14:paraId="41D2EB48" w14:textId="77777777" w:rsidR="00CE0E9A" w:rsidRDefault="00CE0E9A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6B2772BA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6EED2D94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187567B2" wp14:editId="6B17CD29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BFA859F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4E4EC2A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telefon: +420 312 278</w:t>
          </w:r>
          <w:r w:rsidR="001F1664">
            <w:rPr>
              <w:sz w:val="14"/>
              <w:szCs w:val="14"/>
            </w:rPr>
            <w:t> </w:t>
          </w:r>
          <w:r w:rsidRPr="003C2764">
            <w:rPr>
              <w:sz w:val="14"/>
              <w:szCs w:val="14"/>
            </w:rPr>
            <w:t>111</w:t>
          </w:r>
          <w:r w:rsidR="001F1664">
            <w:rPr>
              <w:sz w:val="14"/>
              <w:szCs w:val="14"/>
            </w:rPr>
            <w:t>,</w:t>
          </w:r>
          <w:r w:rsidRPr="003C2764">
            <w:rPr>
              <w:sz w:val="14"/>
              <w:szCs w:val="14"/>
            </w:rPr>
            <w:t xml:space="preserve">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D450B6F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2CD464B0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5D213F28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63692BA6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0B269243" wp14:editId="61C5CB43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4BC76AA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F80D4D8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5D52898F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0A90AEA1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581ED415" wp14:editId="31BB1A2C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6B8810B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DF5CEC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3A09F4F8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2B0797AD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152F02C0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2741841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71E7DD14" wp14:editId="671932F6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AD33F44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7893AB8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95369496">
    <w:abstractNumId w:val="18"/>
  </w:num>
  <w:num w:numId="2" w16cid:durableId="426848999">
    <w:abstractNumId w:val="13"/>
  </w:num>
  <w:num w:numId="3" w16cid:durableId="360283471">
    <w:abstractNumId w:val="5"/>
  </w:num>
  <w:num w:numId="4" w16cid:durableId="1878811192">
    <w:abstractNumId w:val="12"/>
  </w:num>
  <w:num w:numId="5" w16cid:durableId="436827369">
    <w:abstractNumId w:val="6"/>
  </w:num>
  <w:num w:numId="6" w16cid:durableId="1482693820">
    <w:abstractNumId w:val="3"/>
  </w:num>
  <w:num w:numId="7" w16cid:durableId="252396382">
    <w:abstractNumId w:val="23"/>
  </w:num>
  <w:num w:numId="8" w16cid:durableId="756907926">
    <w:abstractNumId w:val="24"/>
  </w:num>
  <w:num w:numId="9" w16cid:durableId="934436612">
    <w:abstractNumId w:val="21"/>
  </w:num>
  <w:num w:numId="10" w16cid:durableId="799760072">
    <w:abstractNumId w:val="25"/>
  </w:num>
  <w:num w:numId="11" w16cid:durableId="433523900">
    <w:abstractNumId w:val="5"/>
  </w:num>
  <w:num w:numId="12" w16cid:durableId="1928734136">
    <w:abstractNumId w:val="16"/>
  </w:num>
  <w:num w:numId="13" w16cid:durableId="180319794">
    <w:abstractNumId w:val="0"/>
  </w:num>
  <w:num w:numId="14" w16cid:durableId="1331370332">
    <w:abstractNumId w:val="5"/>
  </w:num>
  <w:num w:numId="15" w16cid:durableId="829634847">
    <w:abstractNumId w:val="5"/>
  </w:num>
  <w:num w:numId="16" w16cid:durableId="1182235196">
    <w:abstractNumId w:val="5"/>
  </w:num>
  <w:num w:numId="17" w16cid:durableId="1724135362">
    <w:abstractNumId w:val="5"/>
  </w:num>
  <w:num w:numId="18" w16cid:durableId="2113549112">
    <w:abstractNumId w:val="5"/>
  </w:num>
  <w:num w:numId="19" w16cid:durableId="846990250">
    <w:abstractNumId w:val="19"/>
  </w:num>
  <w:num w:numId="20" w16cid:durableId="903367492">
    <w:abstractNumId w:val="5"/>
  </w:num>
  <w:num w:numId="21" w16cid:durableId="1943418791">
    <w:abstractNumId w:val="5"/>
  </w:num>
  <w:num w:numId="22" w16cid:durableId="1442526062">
    <w:abstractNumId w:val="11"/>
  </w:num>
  <w:num w:numId="23" w16cid:durableId="1753694812">
    <w:abstractNumId w:val="5"/>
  </w:num>
  <w:num w:numId="24" w16cid:durableId="943727117">
    <w:abstractNumId w:val="5"/>
  </w:num>
  <w:num w:numId="25" w16cid:durableId="561601134">
    <w:abstractNumId w:val="5"/>
  </w:num>
  <w:num w:numId="26" w16cid:durableId="615407885">
    <w:abstractNumId w:val="5"/>
  </w:num>
  <w:num w:numId="27" w16cid:durableId="96027080">
    <w:abstractNumId w:val="5"/>
  </w:num>
  <w:num w:numId="28" w16cid:durableId="1805197687">
    <w:abstractNumId w:val="5"/>
  </w:num>
  <w:num w:numId="29" w16cid:durableId="282153623">
    <w:abstractNumId w:val="4"/>
  </w:num>
  <w:num w:numId="30" w16cid:durableId="676924902">
    <w:abstractNumId w:val="10"/>
  </w:num>
  <w:num w:numId="31" w16cid:durableId="235865258">
    <w:abstractNumId w:val="5"/>
  </w:num>
  <w:num w:numId="32" w16cid:durableId="634221627">
    <w:abstractNumId w:val="5"/>
  </w:num>
  <w:num w:numId="33" w16cid:durableId="563682009">
    <w:abstractNumId w:val="20"/>
  </w:num>
  <w:num w:numId="34" w16cid:durableId="978877737">
    <w:abstractNumId w:val="7"/>
  </w:num>
  <w:num w:numId="35" w16cid:durableId="1231229899">
    <w:abstractNumId w:val="8"/>
  </w:num>
  <w:num w:numId="36" w16cid:durableId="1276668129">
    <w:abstractNumId w:val="9"/>
  </w:num>
  <w:num w:numId="37" w16cid:durableId="1679963146">
    <w:abstractNumId w:val="22"/>
  </w:num>
  <w:num w:numId="38" w16cid:durableId="296687762">
    <w:abstractNumId w:val="1"/>
  </w:num>
  <w:num w:numId="39" w16cid:durableId="747117387">
    <w:abstractNumId w:val="14"/>
  </w:num>
  <w:num w:numId="40" w16cid:durableId="779186368">
    <w:abstractNumId w:val="17"/>
  </w:num>
  <w:num w:numId="41" w16cid:durableId="805590365">
    <w:abstractNumId w:val="5"/>
  </w:num>
  <w:num w:numId="42" w16cid:durableId="3559385">
    <w:abstractNumId w:val="5"/>
  </w:num>
  <w:num w:numId="43" w16cid:durableId="174879283">
    <w:abstractNumId w:val="5"/>
  </w:num>
  <w:num w:numId="44" w16cid:durableId="2092971624">
    <w:abstractNumId w:val="5"/>
  </w:num>
  <w:num w:numId="45" w16cid:durableId="1129587918">
    <w:abstractNumId w:val="5"/>
  </w:num>
  <w:num w:numId="46" w16cid:durableId="1750737525">
    <w:abstractNumId w:val="5"/>
  </w:num>
  <w:num w:numId="47" w16cid:durableId="559436500">
    <w:abstractNumId w:val="2"/>
  </w:num>
  <w:num w:numId="48" w16cid:durableId="72968979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4FD"/>
    <w:rsid w:val="000F6638"/>
    <w:rsid w:val="001107A0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1F1664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07A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3498"/>
    <w:rsid w:val="007D558F"/>
    <w:rsid w:val="007E61BD"/>
    <w:rsid w:val="007F700C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0E9A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237D"/>
    <w:rsid w:val="00D46E34"/>
    <w:rsid w:val="00D61A10"/>
    <w:rsid w:val="00D62FB8"/>
    <w:rsid w:val="00D634BB"/>
    <w:rsid w:val="00D65853"/>
    <w:rsid w:val="00D67B21"/>
    <w:rsid w:val="00D80744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7EDB"/>
    <w:rsid w:val="00E30E48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85717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CF4DC5"/>
  <w15:docId w15:val="{271CDC6A-4988-464B-9A73-6CE03549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1F1664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A70F-4207-4BC9-B6B5-F7D1B1F7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45</TotalTime>
  <Pages>9</Pages>
  <Words>1919</Words>
  <Characters>12096</Characters>
  <Application>Microsoft Office Word</Application>
  <DocSecurity>0</DocSecurity>
  <Lines>100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13988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2017-10-09T09:37:00Z</dcterms:created>
  <dcterms:modified xsi:type="dcterms:W3CDTF">2024-10-09T12:10:00Z</dcterms:modified>
</cp:coreProperties>
</file>